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A83C" w14:textId="77777777" w:rsidR="00CB0520" w:rsidRDefault="00CB0520" w:rsidP="00CB0520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HR</w:t>
      </w:r>
    </w:p>
    <w:p w14:paraId="2D00CB42" w14:textId="77777777" w:rsidR="00CB0520" w:rsidRDefault="00CB0520" w:rsidP="00CB0520">
      <w:pPr>
        <w:rPr>
          <w:rFonts w:asciiTheme="minorHAnsi" w:hAnsiTheme="minorHAnsi"/>
          <w:sz w:val="22"/>
        </w:rPr>
      </w:pPr>
    </w:p>
    <w:p w14:paraId="2B5F5695" w14:textId="77777777" w:rsidR="009C5DD6" w:rsidRPr="00037E7B" w:rsidRDefault="009C5DD6" w:rsidP="009C5DD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PRILOG II.</w:t>
      </w:r>
    </w:p>
    <w:p w14:paraId="03895EA2" w14:textId="77777777" w:rsidR="009C5DD6" w:rsidRPr="00037E7B" w:rsidRDefault="009C5DD6" w:rsidP="009C5DD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„PRILOG II.</w:t>
      </w:r>
    </w:p>
    <w:p w14:paraId="480031C9" w14:textId="77777777" w:rsidR="009C5DD6" w:rsidRPr="00037E7B" w:rsidRDefault="009C5DD6" w:rsidP="009C5DD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UPUTE ZA IZVJEŠĆIVANJE O REGULATORNOM KAPITALU I KAPITALNIM ZAHTJEVIMA</w:t>
      </w:r>
    </w:p>
    <w:p w14:paraId="08E08E50" w14:textId="77777777" w:rsidR="00EE75F2" w:rsidRDefault="00EE75F2"/>
    <w:p w14:paraId="29C05932" w14:textId="7194A2B7" w:rsidR="00925646" w:rsidRDefault="00FA21C6" w:rsidP="0092564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DIO II.: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UPUTE ZA OBRASCE</w:t>
      </w:r>
    </w:p>
    <w:p w14:paraId="4DA6D037" w14:textId="77777777" w:rsidR="00FC29F5" w:rsidRDefault="00736637" w:rsidP="0092564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7B580897" w14:textId="4FDF8965" w:rsidR="00736637" w:rsidRPr="00736637" w:rsidRDefault="00736637" w:rsidP="0092564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532AAD9A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10415035"/>
      <w:bookmarkStart w:id="1" w:name="_Toc360188372"/>
      <w:bookmarkStart w:id="2" w:name="_Toc473560923"/>
      <w:bookmarkStart w:id="3" w:name="_Toc151714430"/>
      <w:r>
        <w:rPr>
          <w:sz w:val="24"/>
          <w:u w:val="none"/>
          <w:rFonts w:ascii="Times New Roman" w:hAnsi="Times New Roman"/>
        </w:rPr>
        <w:t xml:space="preserve">3.6.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11.00 – Rizik namire/isporuke </w:t>
      </w:r>
      <w:bookmarkEnd w:id="0"/>
      <w:bookmarkEnd w:id="1"/>
      <w:r>
        <w:rPr>
          <w:sz w:val="24"/>
          <w:rFonts w:ascii="Times New Roman" w:hAnsi="Times New Roman"/>
        </w:rPr>
        <w:t xml:space="preserve"> (CR SETT)</w:t>
      </w:r>
      <w:bookmarkEnd w:id="2"/>
      <w:bookmarkEnd w:id="3"/>
    </w:p>
    <w:p w14:paraId="2752D001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4" w:name="_Toc262568045"/>
      <w:bookmarkStart w:id="5" w:name="_Toc295829924"/>
      <w:bookmarkStart w:id="6" w:name="_Toc310415036"/>
      <w:bookmarkStart w:id="7" w:name="_Toc360188373"/>
      <w:bookmarkStart w:id="8" w:name="_Toc473560924"/>
      <w:bookmarkStart w:id="9" w:name="_Toc151714431"/>
      <w:r>
        <w:rPr>
          <w:sz w:val="24"/>
          <w:u w:val="none"/>
          <w:rFonts w:ascii="Times New Roman" w:hAnsi="Times New Roman"/>
        </w:rPr>
        <w:t xml:space="preserve">3.6.1.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Opće napomene</w:t>
      </w:r>
      <w:bookmarkEnd w:id="4"/>
      <w:bookmarkEnd w:id="5"/>
      <w:bookmarkEnd w:id="6"/>
      <w:bookmarkEnd w:id="7"/>
      <w:bookmarkEnd w:id="8"/>
      <w:bookmarkEnd w:id="9"/>
    </w:p>
    <w:p w14:paraId="2F026EC9" w14:textId="0B459D4B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99</w:t>
      </w:r>
      <w:r>
        <w:fldChar w:fldCharType="end"/>
      </w:r>
      <w:r>
        <w:t xml:space="preserve">.</w:t>
      </w:r>
      <w:r>
        <w:tab/>
      </w:r>
      <w:r>
        <w:t xml:space="preserve">U ovom se obrascu traže informacije o transakcijama iz knjige trgovanja i transakcijama iz knjige pozicija kojima se ne trguje koje nisu namirene nakon datuma dospijeća te kapitalnim zahtjevima za rizik namire iz članka 92. stavka 3. točke (c) podtočke ii. i članka 378. Uredbe (EU) 575/2013.</w:t>
      </w:r>
      <w:r>
        <w:t xml:space="preserve"> </w:t>
      </w:r>
    </w:p>
    <w:p w14:paraId="0B60E63F" w14:textId="08AFF3CE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100</w:t>
      </w:r>
      <w:r>
        <w:fldChar w:fldCharType="end"/>
      </w:r>
      <w:r>
        <w:t xml:space="preserve">.</w:t>
      </w:r>
      <w:r>
        <w:tab/>
      </w:r>
      <w:r>
        <w:t xml:space="preserve">U obrascu CR SETT institucije iskazuju informacije o riziku namire/isporuke u vezi s dužničkim i vlasničkim instrumentima, stranim valutama i robi koje drže u svojoj knjizi trgovanja ili knjizi pozicija kojima se ne trguje.</w:t>
      </w:r>
      <w:r>
        <w:t xml:space="preserve"> </w:t>
      </w:r>
    </w:p>
    <w:p w14:paraId="1F6DAE78" w14:textId="6128EA1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101</w:t>
      </w:r>
      <w:r>
        <w:fldChar w:fldCharType="end"/>
      </w:r>
      <w:r>
        <w:t xml:space="preserve">.</w:t>
      </w:r>
      <w:r>
        <w:tab/>
      </w:r>
      <w:r>
        <w:t xml:space="preserve">U skladu s člankom 378. Uredbe (EU) 575/2013, na repo transakcije, transakcije pozajmljivanja vrijednosnih papira ili robe drugoj strani ili od druge strane u vezi s dužničkim i vlasničkim instrumentima, valutama i robom ne primjenjuju se kapitalni zahtjevi za rizik namire/isporuke.</w:t>
      </w:r>
      <w:r>
        <w:t xml:space="preserve"> </w:t>
      </w:r>
      <w:r>
        <w:t xml:space="preserve">Međutim, potrebno je napomenuti da se na izvedenice i transakcije s dugim rokom namire koje nisu namirene nakon datuma dospijeća ipak primjenjuju kapitalni zahtjevi za rizik namire/isporuke kako je određeno u članku 378. Uredbe (EU) 575/2013.</w:t>
      </w:r>
    </w:p>
    <w:p w14:paraId="4DCAF22E" w14:textId="79A986C3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102</w:t>
      </w:r>
      <w:r>
        <w:fldChar w:fldCharType="end"/>
      </w:r>
      <w:r>
        <w:t xml:space="preserve">.</w:t>
      </w:r>
      <w:r>
        <w:tab/>
      </w:r>
      <w:r>
        <w:t xml:space="preserve">U slučaju transakcija nenamirenih nakon datuma dospijeća, institucije izračunavaju razliku u cijeni kojoj su izložene.</w:t>
      </w:r>
      <w:r>
        <w:t xml:space="preserve"> </w:t>
      </w:r>
      <w:r>
        <w:t xml:space="preserve">To je razlika između ugovorene cijene namire za određeni dužnički i vlasnički instrument, valutu ili robu i njezine sadašnje tržišne vrijednosti, ako je ta razlika gubitak za instituciju.</w:t>
      </w:r>
      <w:r>
        <w:t xml:space="preserve"> </w:t>
      </w:r>
    </w:p>
    <w:p w14:paraId="7DB9BE93" w14:textId="77A3E431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103</w:t>
      </w:r>
      <w:r>
        <w:fldChar w:fldCharType="end"/>
      </w:r>
      <w:r>
        <w:t xml:space="preserve">.</w:t>
      </w:r>
      <w:r>
        <w:tab/>
      </w:r>
      <w:r>
        <w:t xml:space="preserve">Institucije tu razliku množe s odgovarajućim faktorom iz tablice 1 iz članka 378. Uredbe (EU) 575/2013 kako bi se odredili odgovarajući kapitalni zahtjevi.</w:t>
      </w:r>
    </w:p>
    <w:p w14:paraId="59D114DF" w14:textId="657627A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104</w:t>
      </w:r>
      <w:r>
        <w:fldChar w:fldCharType="end"/>
      </w:r>
      <w:r>
        <w:t xml:space="preserve">.</w:t>
      </w:r>
      <w:r>
        <w:tab/>
      </w:r>
      <w:r>
        <w:t xml:space="preserve">U skladu s člankom 92. stavkom 4. točkom (b) Uredbe (EU) 575/2013, kapitalni zahtjevi za rizik namire/isporuke množe se s 12,5 kako bi se izračunao iznos izloženosti riziku.</w:t>
      </w:r>
    </w:p>
    <w:p w14:paraId="451A9870" w14:textId="00DC3B9D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 w:dirty="true"/>
      </w:r>
      <w:r>
        <w:instrText>seq paragraphs</w:instrText>
      </w:r>
      <w:r>
        <w:fldChar w:fldCharType="separate"/>
      </w:r>
      <w:r w:rsidRPr="002A677E">
        <w:t>105</w:t>
      </w:r>
      <w:r>
        <w:fldChar w:fldCharType="end"/>
      </w:r>
      <w:r>
        <w:t xml:space="preserve">.</w:t>
      </w:r>
      <w:r>
        <w:tab/>
      </w:r>
      <w:r>
        <w:t xml:space="preserve">Potrebno je napomenuti da kapitalni zahtjevi za slobodne isporuke iz članka 379. Uredbe (EU) 575/2013 nisu u opsegu obrasca CR SETT.</w:t>
      </w:r>
      <w:r>
        <w:t xml:space="preserve"> </w:t>
      </w:r>
      <w:r>
        <w:t xml:space="preserve">Ti kapitalni zahtjevi iskazuju se u obrascima za kreditni rizik (CR SA, CR IRB).</w:t>
      </w:r>
    </w:p>
    <w:p w14:paraId="2856C9F8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" w:name="_Toc310415037"/>
      <w:bookmarkStart w:id="11" w:name="_Toc360188374"/>
      <w:bookmarkStart w:id="12" w:name="_Toc473560925"/>
      <w:bookmarkStart w:id="13" w:name="_Toc151714432"/>
      <w:r>
        <w:rPr>
          <w:sz w:val="24"/>
          <w:u w:val="none"/>
          <w:rFonts w:ascii="Times New Roman" w:hAnsi="Times New Roman"/>
        </w:rPr>
        <w:t xml:space="preserve">3.6.2.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Upute za specifične pozicije</w:t>
      </w:r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925646" w:rsidRPr="002A677E" w14:paraId="1C4B6209" w14:textId="77777777" w:rsidTr="00E07FE9">
        <w:tc>
          <w:tcPr>
            <w:tcW w:w="8856" w:type="dxa"/>
            <w:gridSpan w:val="2"/>
            <w:shd w:val="clear" w:color="auto" w:fill="CCCCCC"/>
          </w:tcPr>
          <w:p w14:paraId="248EFB4C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Stupci</w:t>
            </w:r>
          </w:p>
        </w:tc>
      </w:tr>
      <w:tr w:rsidR="00925646" w:rsidRPr="002A677E" w14:paraId="0C777B7A" w14:textId="77777777" w:rsidTr="00E07FE9">
        <w:tc>
          <w:tcPr>
            <w:tcW w:w="852" w:type="dxa"/>
          </w:tcPr>
          <w:p w14:paraId="12FCBB6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04AF1B5E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KOJE NISU NAMIRENE PO CIJENI NAMIRE</w:t>
            </w:r>
          </w:p>
          <w:p w14:paraId="4CB9A5A9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transakcije nenamirene nakon datuma dospijeća iskazuju po odgovarajućim dogovorenim cijenama namire iz članka 378. Uredbe (EU)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9152D4C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Sve nenamirene transakcije uključuju se u ovaj stupac, bez obzira na to jesu li nakon datuma namire s dobitkom ili gubitkom.</w:t>
            </w:r>
          </w:p>
        </w:tc>
      </w:tr>
      <w:tr w:rsidR="00925646" w:rsidRPr="002A677E" w14:paraId="5FEA9B26" w14:textId="77777777" w:rsidTr="00E07FE9">
        <w:tc>
          <w:tcPr>
            <w:tcW w:w="852" w:type="dxa"/>
          </w:tcPr>
          <w:p w14:paraId="5EC8BA01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004" w:type="dxa"/>
          </w:tcPr>
          <w:p w14:paraId="5594AB8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 NA OSNOVI RAZLIKE U CIJENI ZBOG NENAMIRENIH TRANSAKCIJA</w:t>
            </w:r>
          </w:p>
          <w:p w14:paraId="43853ADA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razliku između dogovorene cijene namire i njezine sadašnje tržišne vrijednosti za dotični dužnički i vlasnički instrument, valutu ili robu, ako je ta razlika gubitak za instituciju, kako je navedeno u članku 378. Uredbe (EU)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2F8AB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ovom se stupcu iskazuju samo transakcije s gubitkom koje nisu namirene nakon datuma namire.</w:t>
            </w:r>
          </w:p>
        </w:tc>
      </w:tr>
      <w:tr w:rsidR="00925646" w:rsidRPr="002A677E" w14:paraId="40F087AE" w14:textId="77777777" w:rsidTr="00E07FE9">
        <w:tc>
          <w:tcPr>
            <w:tcW w:w="852" w:type="dxa"/>
          </w:tcPr>
          <w:p w14:paraId="464EF1DF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004" w:type="dxa"/>
          </w:tcPr>
          <w:p w14:paraId="5DA1D58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KAPITALNI ZAHTJEVI</w:t>
            </w:r>
          </w:p>
          <w:p w14:paraId="24894388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vrijednost izloženosti prije smanjenja kreditnog rizika u skladu s člankom 378. Uredbe (EU) br. 575/2013.</w:t>
            </w:r>
          </w:p>
        </w:tc>
      </w:tr>
      <w:tr w:rsidR="00925646" w:rsidRPr="002A677E" w14:paraId="185C6E1B" w14:textId="77777777" w:rsidTr="00E07FE9">
        <w:tc>
          <w:tcPr>
            <w:tcW w:w="852" w:type="dxa"/>
          </w:tcPr>
          <w:p w14:paraId="6691FECB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004" w:type="dxa"/>
          </w:tcPr>
          <w:p w14:paraId="09E890C2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IZNOS UKUPNE IZLOŽENOSTI RIZIKU NAMIRE</w:t>
            </w:r>
          </w:p>
          <w:p w14:paraId="3A06223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skladu s člankom 92. stavkom 4. točkom (b) Uredbe (EU) br. 575/2013, institucije svoje kapitalne zahtjeve iskazane u stupcu 0030 množe s 12,5 kako bi dobile iznos izloženosti riziku namire.</w:t>
            </w:r>
          </w:p>
        </w:tc>
      </w:tr>
    </w:tbl>
    <w:p w14:paraId="2CF8C386" w14:textId="77777777" w:rsidR="00925646" w:rsidRPr="002A677E" w:rsidRDefault="00925646" w:rsidP="0092564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10"/>
      </w:tblGrid>
      <w:tr w:rsidR="00925646" w:rsidRPr="002A677E" w14:paraId="49AB5F6A" w14:textId="77777777" w:rsidTr="00E07FE9">
        <w:tc>
          <w:tcPr>
            <w:tcW w:w="8862" w:type="dxa"/>
            <w:gridSpan w:val="2"/>
            <w:shd w:val="clear" w:color="auto" w:fill="CCCCCC"/>
          </w:tcPr>
          <w:p w14:paraId="5E71AA9E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Redci</w:t>
            </w:r>
          </w:p>
        </w:tc>
      </w:tr>
      <w:tr w:rsidR="00925646" w:rsidRPr="002A677E" w14:paraId="6E36F3A5" w14:textId="77777777" w:rsidTr="00E07FE9">
        <w:tc>
          <w:tcPr>
            <w:tcW w:w="852" w:type="dxa"/>
          </w:tcPr>
          <w:p w14:paraId="4E78548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10" w:type="dxa"/>
          </w:tcPr>
          <w:p w14:paraId="7950866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Ukupne nenamirene transakcije u knjizi pozicija kojima se ne trguje</w:t>
            </w:r>
          </w:p>
          <w:p w14:paraId="21410DD0" w14:textId="700C573F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agregirane informacije o riziku namire/isporuke za pozicije iz knjige pozicija kojima se ne trguje (kako je navedeno u članku 92. stavku 4. točki (ca) i članku 378. Uredbe (EU) 575/2013).</w:t>
            </w:r>
          </w:p>
          <w:p w14:paraId="57BBA9B8" w14:textId="77777777" w:rsidR="00925646" w:rsidRPr="002A677E" w:rsidRDefault="00925646" w:rsidP="00E07FE9">
            <w:pPr>
              <w:spacing w:beforeLines="60" w:before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 {r0010;c0010} iskazuju agregirani zbroj transakcija nenamirenih nakon datuma dospijeća po odgovarajućim dogovorenim cijenama namire.</w:t>
            </w:r>
          </w:p>
          <w:p w14:paraId="556AEAC8" w14:textId="77777777" w:rsidR="00925646" w:rsidRPr="002A677E" w:rsidRDefault="00925646" w:rsidP="00E07FE9">
            <w:pPr>
              <w:spacing w:beforeLines="60" w:before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 {r0010;c0020} iskazuju agregirane informacije o izloženosti na osnovi razlike u cijeni zbog nenamirenih transakcija s gubitkom.</w:t>
            </w:r>
          </w:p>
          <w:p w14:paraId="01BDECE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 {r0010;c0030} iskazuju agregirane kapitalne zahtjeve dobivene izračunom kapitalnih zahtjeva za nenamirene transakcije množenjem „razlike u cijeni” iskazane u stupcu 0020 s odgovarajućim faktorom na temelju na broja radnih dana nakon datuma namire (kategorije iz tablice 1 iz članka 378. Uredbe (EU) 575/2013).</w:t>
            </w:r>
          </w:p>
        </w:tc>
      </w:tr>
      <w:tr w:rsidR="00925646" w:rsidRPr="002A677E" w14:paraId="5C9B2254" w14:textId="77777777" w:rsidTr="00E07FE9">
        <w:tc>
          <w:tcPr>
            <w:tcW w:w="852" w:type="dxa"/>
          </w:tcPr>
          <w:p w14:paraId="4D2DFFF2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0020-0060</w:t>
            </w:r>
          </w:p>
        </w:tc>
        <w:tc>
          <w:tcPr>
            <w:tcW w:w="8010" w:type="dxa"/>
          </w:tcPr>
          <w:p w14:paraId="78C0D32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nenamirene do 4 dana (faktor 0 %)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8729DF9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nenamirene od 5 do 15 dana (faktor 8 %)</w:t>
            </w:r>
          </w:p>
          <w:p w14:paraId="00232284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nenamirene od 16 do 30 dana (faktor 50 %)</w:t>
            </w:r>
          </w:p>
          <w:p w14:paraId="5EEFD9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koje nisu namirene između 31 i 45 dana (faktor 75 %)</w:t>
            </w:r>
          </w:p>
          <w:p w14:paraId="326E480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nenamirene 46 ili više dana (faktor 100 %)</w:t>
            </w:r>
          </w:p>
          <w:p w14:paraId="4BCE7D0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 redcima od 0020 do 0060 iskazuju informacije o riziku namire/isporuke za pozicije iz knjigu pozicija kojima se ne trguje u skladu s kategorijama iz tablice 1 iz članka 378. Uredbe (EU)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BA03842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Nisu propisani kapitalni zahtjevi za rizik namire/isporuke za transakcije koje su nenamirene manje od 5 radnih dana nakon datuma namire.</w:t>
            </w:r>
          </w:p>
        </w:tc>
      </w:tr>
      <w:tr w:rsidR="00925646" w:rsidRPr="002A677E" w14:paraId="271E44B6" w14:textId="77777777" w:rsidTr="00E07FE9">
        <w:tc>
          <w:tcPr>
            <w:tcW w:w="852" w:type="dxa"/>
          </w:tcPr>
          <w:p w14:paraId="4680CF00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010" w:type="dxa"/>
          </w:tcPr>
          <w:p w14:paraId="56920EB6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Ukupne nenamirene transakcije u knjizi trgovanja</w:t>
            </w:r>
          </w:p>
          <w:p w14:paraId="3C4B428B" w14:textId="446A5161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agregirane informacije o riziku namire/isporuke za pozicije iz knjige trgovanja (kako je navedeno u članku 92. stavku 4. točki (ca) i članku 378. Uredbe (EU) 575/2013).</w:t>
            </w:r>
          </w:p>
          <w:p w14:paraId="2E44B3F3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 {r0070;c0010} iskazuju agregirani zbroj transakcija nenamirenih nakon datuma dospijeća po odgovarajućim dogovorenim cijenama namire.</w:t>
            </w:r>
          </w:p>
          <w:p w14:paraId="1CB848DF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 {r0070;c0020} iskazuju agregirane informacije o izloženosti na osnovi razlike u cijeni zbog nenamirenih transakcija s gubitkom.</w:t>
            </w:r>
          </w:p>
          <w:p w14:paraId="64D05373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 {r0070;c0030} iskazuju agregirane kapitalne zahtjeve dobivene izračunom kapitalnih zahtjeva za nenamirene transakcije množenjem „razlike u cijeni” iskazane u stupcu 0020 s odgovarajućim faktorom na temelju na broja radnih dana nakon datuma namire (kategorije iz tablice 1 iz članka 378. Uredbe (EU) 575/2013).</w:t>
            </w:r>
          </w:p>
        </w:tc>
      </w:tr>
      <w:tr w:rsidR="00925646" w:rsidRPr="002A677E" w14:paraId="2284D88A" w14:textId="77777777" w:rsidTr="00E07FE9">
        <w:tc>
          <w:tcPr>
            <w:tcW w:w="852" w:type="dxa"/>
          </w:tcPr>
          <w:p w14:paraId="4F3EBD1A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0080-0120</w:t>
            </w:r>
          </w:p>
        </w:tc>
        <w:tc>
          <w:tcPr>
            <w:tcW w:w="8010" w:type="dxa"/>
          </w:tcPr>
          <w:p w14:paraId="34E9771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nenamirene do 4 dana (faktor 0 %)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B8BB09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nenamirene od 5 do 15 dana (faktor 8 %)</w:t>
            </w:r>
          </w:p>
          <w:p w14:paraId="3902398B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nenamirene od 16 do 30 dana (faktor 50 %)</w:t>
            </w:r>
          </w:p>
          <w:p w14:paraId="256655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koje nisu namirene između 31 i 45 dana (faktor 75 %)</w:t>
            </w:r>
          </w:p>
          <w:p w14:paraId="61E1443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Transakcije nenamirene 46 ili više dana (faktor 100 %)</w:t>
            </w:r>
          </w:p>
          <w:p w14:paraId="1A0345F5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 redcima od 0080 do 0120 iskazuju informacije o riziku namire/isporuke za pozicije iz knjige trgovanja u skladu s kategorijama iz tablice 1 iz članka 378. Uredbe (EU)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A9F762A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Nisu propisani kapitalni zahtjevi za rizik namire/isporuke za transakcije koje su nenamirene manje od 5 radnih dana nakon datuma namire.</w:t>
            </w:r>
          </w:p>
        </w:tc>
      </w:tr>
    </w:tbl>
    <w:p w14:paraId="5D73F136" w14:textId="77777777" w:rsidR="00925646" w:rsidRPr="002A677E" w:rsidRDefault="00925646" w:rsidP="00925646">
      <w:pPr>
        <w:spacing w:after="0"/>
        <w:rPr>
          <w:rFonts w:ascii="Times New Roman" w:hAnsi="Times New Roman"/>
          <w:sz w:val="24"/>
        </w:rPr>
      </w:pPr>
    </w:p>
    <w:p w14:paraId="43F97E9B" w14:textId="77777777" w:rsidR="00925646" w:rsidRDefault="00925646" w:rsidP="00925646">
      <w:r>
        <w:br w:type="page"/>
      </w:r>
    </w:p>
    <w:p w14:paraId="557ADFEB" w14:textId="77777777" w:rsidR="00925646" w:rsidRDefault="00925646"/>
    <w:sectPr w:rsidR="00925646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A1AA" w14:textId="77777777" w:rsidR="00960943" w:rsidRDefault="00960943" w:rsidP="00925646">
      <w:pPr>
        <w:spacing w:before="0" w:after="0"/>
      </w:pPr>
      <w:r>
        <w:separator/>
      </w:r>
    </w:p>
  </w:endnote>
  <w:endnote w:type="continuationSeparator" w:id="0">
    <w:p w14:paraId="65273641" w14:textId="77777777" w:rsidR="00960943" w:rsidRDefault="00960943" w:rsidP="009256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BB9E" w14:textId="77777777" w:rsidR="00960943" w:rsidRDefault="00960943" w:rsidP="00925646">
      <w:pPr>
        <w:spacing w:before="0" w:after="0"/>
      </w:pPr>
      <w:r>
        <w:separator/>
      </w:r>
    </w:p>
  </w:footnote>
  <w:footnote w:type="continuationSeparator" w:id="0">
    <w:p w14:paraId="07A05382" w14:textId="77777777" w:rsidR="00960943" w:rsidRDefault="00960943" w:rsidP="009256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F0C6" w14:textId="3A9322B0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9A67A4D" wp14:editId="1C73451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85299262" name="Text Box 2" descr="EBA Redovita upotr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C118C" w14:textId="6D89FBB4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67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upotr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98C118C" w14:textId="6D89FBB4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5C3" w14:textId="60A18E7B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30E3E4E5" wp14:editId="23EF4F5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58750035" name="Text Box 3" descr="EBA Redovita upotr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1E575" w14:textId="100C6677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E4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upotr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941E575" w14:textId="100C667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63BA" w14:textId="2933D5A5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497E951" wp14:editId="175F54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58255065" name="Text Box 1" descr="EBA Redovita upotr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D547D" w14:textId="0ABEE687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E9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upotr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C9D547D" w14:textId="0ABEE68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25646"/>
    <w:rsid w:val="005A0E0B"/>
    <w:rsid w:val="00631623"/>
    <w:rsid w:val="006364D5"/>
    <w:rsid w:val="00736637"/>
    <w:rsid w:val="007E5623"/>
    <w:rsid w:val="00925646"/>
    <w:rsid w:val="00960943"/>
    <w:rsid w:val="009C5DD6"/>
    <w:rsid w:val="00A6002C"/>
    <w:rsid w:val="00AB618F"/>
    <w:rsid w:val="00B71F25"/>
    <w:rsid w:val="00CB0520"/>
    <w:rsid w:val="00EE75F2"/>
    <w:rsid w:val="00EF07A1"/>
    <w:rsid w:val="00FA21C6"/>
    <w:rsid w:val="00FC29F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61F2F"/>
  <w15:chartTrackingRefBased/>
  <w15:docId w15:val="{0BCCFD41-E2B6-484E-8347-5B1A000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46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6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6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6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6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6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6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6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6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6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6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6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6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6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56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56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6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6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646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925646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val="hr-HR" w:eastAsia="x-none"/>
    </w:rPr>
  </w:style>
  <w:style w:type="character" w:customStyle="1" w:styleId="InstructionsTabelleberschrift">
    <w:name w:val="Instructions Tabelle Überschrift"/>
    <w:qFormat/>
    <w:rsid w:val="00925646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25646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925646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92564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5646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F9F947-574A-431C-BB1E-1E311FE824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1F446518-0FCF-416C-A682-F89A7C1B9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D86921-A080-43BC-9E4B-122BCC96EBF8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1051</Words>
  <Characters>6013</Characters>
  <Application>Microsoft Office Word</Application>
  <DocSecurity>0</DocSecurity>
  <Lines>130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PETRE Gheorghe-Cristian (FISMA)</cp:lastModifiedBy>
  <cp:revision>9</cp:revision>
  <dcterms:created xsi:type="dcterms:W3CDTF">2024-05-28T09:25:00Z</dcterms:created>
  <dcterms:modified xsi:type="dcterms:W3CDTF">2024-07-10T18:21:00Z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3f13b0d9,40b05a3e,2743ba53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2024-07-10T18:21:37Z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8bd36abc-edef-4d8a-961c-71b37bbefd17</vt:lpwstr>
  </property>
  <property fmtid="{D5CDD505-2E9C-101B-9397-08002B2CF9AE}" pid="12" name="MSIP_Label_6bd9ddd1-4d20-43f6-abfa-fc3c07406f94_ContentBits">
    <vt:lpwstr>0</vt:lpwstr>
  </property>
</Properties>
</file>